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26-78</w:t>
      </w:r>
    </w:p>
    <w:p>
      <w:pPr>
        <w:spacing w:before="0" w:after="0" w:line="480"/>
        <w:ind w:left="120"/>
        <w:jc w:val="left"/>
      </w:pPr>
    </w:p>
    <w:p>
      <w:pPr>
        <w:spacing w:before="0" w:after="0" w:line="480"/>
        <w:ind w:left="120"/>
        <w:jc w:val="center"/>
      </w:pPr>
      <w:r>
        <w:rPr>
          <w:rFonts w:ascii="Times New Roman" w:hAnsi="Times New Roman"/>
          <w:b/>
          <w:i w:val="false"/>
          <w:color w:val="000000"/>
          <w:sz w:val="28"/>
        </w:rPr>
        <w:t>CHIEF INFORMATION OFFICER, OFFICE OF THE[129]</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129—Chapters 8, 10, 20, 21, and 22</w:t>
      </w:r>
    </w:p>
    <w:p>
      <w:pPr>
        <w:spacing w:before="0" w:after="0" w:line="480"/>
        <w:ind w:left="120"/>
        <w:jc w:val="center"/>
      </w:pPr>
      <w:r>
        <w:rPr>
          <w:rFonts w:ascii="Times New Roman" w:hAnsi="Times New Roman"/>
          <w:b w:val="false"/>
          <w:i w:val="false"/>
          <w:color w:val="000000"/>
          <w:sz w:val="24"/>
        </w:rPr>
        <w:t xml:space="preserve">“Information Technology Governance; Procurement of Information Technology; </w:t>
      </w:r>
      <w:r>
        <w:br/>
      </w:r>
      <w:r>
        <w:rPr>
          <w:rFonts w:ascii="Times New Roman" w:hAnsi="Times New Roman"/>
          <w:b w:val="false"/>
          <w:i w:val="false"/>
          <w:color w:val="000000"/>
          <w:sz w:val="24"/>
        </w:rPr>
        <w:t xml:space="preserve">Broadband Infrastructure—Targeted Service Areas; Broadband Infrastructure—Project </w:t>
      </w:r>
      <w:r>
        <w:br/>
      </w:r>
      <w:r>
        <w:rPr>
          <w:rFonts w:ascii="Times New Roman" w:hAnsi="Times New Roman"/>
          <w:b w:val="false"/>
          <w:i w:val="false"/>
          <w:color w:val="000000"/>
          <w:sz w:val="24"/>
        </w:rPr>
        <w:t>Certification; Broadband Grant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8 and 17A</w:t>
      </w:r>
    </w:p>
    <w:p>
      <w:pPr>
        <w:spacing w:before="0" w:after="0" w:line="480"/>
        <w:ind w:left="120"/>
        <w:jc w:val="both"/>
      </w:pPr>
      <w:r>
        <w:rPr>
          <w:rFonts w:ascii="Times New Roman" w:hAnsi="Times New Roman"/>
          <w:b w:val="false"/>
          <w:i w:val="false"/>
          <w:color w:val="000000"/>
          <w:sz w:val="24"/>
        </w:rPr>
        <w:t>State or federal law(s) implemented by the rulemaking: Iowa Code chapters 8 and 17A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July 3, 2026</w:t>
            </w:r>
            <w:r>
              <w:br/>
            </w:r>
            <w:r>
              <w:rPr>
                <w:rFonts w:ascii="Times New Roman" w:hAnsi="Times New Roman"/>
                <w:b w:val="false"/>
                <w:i w:val="false"/>
                <w:color w:val="000000"/>
                <w:sz w:val="21"/>
              </w:rPr>
              <w:t>9 a.m.</w:t>
            </w:r>
          </w:p>
        </w:tc>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Room G14</w:t>
            </w:r>
            <w:r>
              <w:br/>
            </w:r>
            <w:r>
              <w:rPr>
                <w:rFonts w:ascii="Times New Roman" w:hAnsi="Times New Roman"/>
                <w:b w:val="false"/>
                <w:i w:val="false"/>
                <w:color w:val="000000"/>
                <w:sz w:val="21"/>
              </w:rPr>
              <w:t xml:space="preserve">1007 East Grand Avenue </w:t>
            </w:r>
            <w:r>
              <w:br/>
            </w:r>
            <w:r>
              <w:rPr>
                <w:rFonts w:ascii="Times New Roman" w:hAnsi="Times New Roman"/>
                <w:b w:val="false"/>
                <w:i w:val="false"/>
                <w:color w:val="000000"/>
                <w:sz w:val="21"/>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Management (DOM)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4308"/>
      </w:tblGrid>
      <w:tr>
        <w:trPr>
          <w:trHeight w:val="4005" w:hRule="atLeast"/>
        </w:trPr>
        <w:tc>
          <w:tcPr>
            <w:tcW w:w="43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Brad Horn, General Counsel</w:t>
            </w:r>
            <w:r>
              <w:br/>
            </w:r>
            <w:r>
              <w:rPr>
                <w:rFonts w:ascii="Times New Roman" w:hAnsi="Times New Roman"/>
                <w:b w:val="false"/>
                <w:i w:val="false"/>
                <w:color w:val="000000"/>
                <w:sz w:val="21"/>
              </w:rPr>
              <w:t>Iowa Department of Management</w:t>
            </w:r>
            <w:r>
              <w:br/>
            </w:r>
            <w:r>
              <w:rPr>
                <w:rFonts w:ascii="Times New Roman" w:hAnsi="Times New Roman"/>
                <w:b w:val="false"/>
                <w:i w:val="false"/>
                <w:color w:val="000000"/>
                <w:sz w:val="21"/>
              </w:rPr>
              <w:t>1007 East Grand Avenue, Room G13</w:t>
            </w:r>
            <w:r>
              <w:br/>
            </w:r>
            <w:r>
              <w:rPr>
                <w:rFonts w:ascii="Times New Roman" w:hAnsi="Times New Roman"/>
                <w:b w:val="false"/>
                <w:i w:val="false"/>
                <w:color w:val="000000"/>
                <w:sz w:val="21"/>
              </w:rPr>
              <w:t>Des Moines, Iowa 50319</w:t>
            </w:r>
            <w:r>
              <w:br/>
            </w:r>
            <w:r>
              <w:rPr>
                <w:rFonts w:ascii="Times New Roman" w:hAnsi="Times New Roman"/>
                <w:b w:val="false"/>
                <w:i w:val="false"/>
                <w:color w:val="000000"/>
                <w:sz w:val="21"/>
              </w:rPr>
              <w:t>Phone: 515.414.6187</w:t>
            </w:r>
            <w:r>
              <w:br/>
            </w:r>
            <w:r>
              <w:rPr>
                <w:rFonts w:ascii="Times New Roman" w:hAnsi="Times New Roman"/>
                <w:b w:val="false"/>
                <w:i w:val="false"/>
                <w:color w:val="000000"/>
                <w:sz w:val="21"/>
              </w:rPr>
              <w:t xml:space="preserve">Email: </w:t>
            </w:r>
            <w:hyperlink r:id="rId4">
              <w:r>
                <w:rPr>
                  <w:rStyle w:val="Hyperlink"/>
                  <w:rFonts w:ascii="Times New Roman" w:hAnsi="Times New Roman"/>
                  <w:b w:val="false"/>
                  <w:i w:val="false"/>
                  <w:color w:val="0000ff"/>
                  <w:sz w:val="24"/>
                </w:rPr>
                <w:t>brad.horn@dom.iowa.gov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Office of the Chief Information Officer (OCIO) is now consolidated into the DOM. Chapters 8, 10, 20, 21, and 22 concerning governance of information technology, procurement of information technology, and the Broadband Grant Program are no longer necessary and can be rescinded. Replacement rules will be drafted to the extent required by law. In addition, the DOM intends to implement agency policy to address numerous issues addressed by these rules.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Not applicable. Chapters 8, 10, 20, 21, and 22 are being rescinded in their entirety.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Rescinding Chapters 8, 10, 20, 21, and 22 simplifies the agency’s rules and reduces guidance to only that which is necessary. Generally speaking, the Broadband Grant Program rules mostly repeat the statutory text. One rule concerning broadband mapping is to be included in the DOM’s rules in a later rulemaking. The DOM intends to address procurement and information technology governance through agency policy.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Not applicable. This rulemaking solely rescinds Chapters 8, 10, 20, 21, and 22 now that the OCIO is consolidated under the DOM.</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Rescinding Chapters 8, 10, 20, 21, and 22 simplifies the agency’s existing rules and removes all included restrictive words and phrases from the rules, which should provide those who access the rules a better qualitative experience.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will be no implementation or enforcement costs since Chapters 8, 10, 20, 21, and 22 are being rescinded.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To the extent that consolidation of the OCIO into the DOM increases efficiency and reduces redundancies, State revenues will be positively affected by the rescission of Chapters 8, 10, 20, 21, and 22.</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Inaction is not permissible since Chapters 8, 10, 20, 21, and 22 are defunct and should be rescinded now that the OCIO is consolidated within the DOM. Rescinding the chapters is a necessary step in maintaining current and easily-accessible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methods exist that are less costly than rescinding the defunct rules and eliminating outdated, unnecessary text from the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 Chapters 8, 10, 20, 21, and 22 are largely defunct and should be rescinded.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 alternative methods are available.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Rescinding Chapters 8, 10, 20, 21, and 22 has no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129—Chapter 8</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129—Chapter 10</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129—Chapter 20</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129—Chapter 21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129—Chapter 22</w:t>
      </w:r>
      <w:r>
        <w:rPr>
          <w:rFonts w:ascii="Times New Roman" w:hAnsi="Times New Roman"/>
          <w:b w:val="false"/>
          <w:i w:val="false"/>
          <w:color w:val="000000"/>
          <w:sz w:val="24"/>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brad.horn@dom.iowa.gov"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